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val="en-US" w:eastAsia="zh-CN"/>
        </w:rPr>
      </w:pPr>
      <w:r>
        <w:rPr>
          <w:rFonts w:hint="eastAsia"/>
          <w:b/>
          <w:sz w:val="36"/>
          <w:szCs w:val="36"/>
          <w:lang w:val="en-US" w:eastAsia="zh-CN"/>
        </w:rPr>
        <w:t>重庆两江丰田汽车销售服务有限公司</w:t>
      </w:r>
    </w:p>
    <w:p>
      <w:pPr>
        <w:jc w:val="center"/>
        <w:rPr>
          <w:b/>
          <w:sz w:val="36"/>
          <w:szCs w:val="36"/>
        </w:rPr>
      </w:pPr>
      <w:r>
        <w:rPr>
          <w:rFonts w:hint="eastAsia"/>
          <w:b/>
          <w:sz w:val="36"/>
          <w:szCs w:val="36"/>
        </w:rPr>
        <w:t>诚  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重庆两江丰田4S店地处长江之滨，位于南岸区双龙路。两江丰田通过一汽丰田TSM-F认定，按照丰田运营标准经营。销售车型包括一汽丰田SUV车型：荣放、陆放、凌放、锐放、奕泽、 BZ4X；轿车：卡罗拉、亚洲龙、亚洲狮、威驰；商务车COASTE</w:t>
      </w:r>
      <w:r>
        <w:rPr>
          <w:rFonts w:ascii="宋体" w:hAnsi="宋体" w:eastAsia="宋体"/>
          <w:sz w:val="28"/>
          <w:szCs w:val="28"/>
        </w:rPr>
        <w:t>R</w:t>
      </w:r>
      <w:r>
        <w:rPr>
          <w:rFonts w:hint="eastAsia" w:ascii="宋体" w:hAnsi="宋体" w:eastAsia="宋体"/>
          <w:sz w:val="28"/>
          <w:szCs w:val="28"/>
        </w:rPr>
        <w:t>柯斯达；进口丰田商务车威尔法；提供售后维修服务、纯牌零件供应、信息咨询服务、安心二手车置换、汽车金融等，为客户提供更专业、更便捷、更安心的服务。</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我店新车展示区集中展示了一汽丰田所有在售车型，设立有新车展示区、汽车金融区、二手车评估区、试乘试驾区及新车交车区等区域，为客户提供安心舒适的购车环境。售后服务区域内设立有预约客户接待区、维修保养接待区、事故车接待区以及保险接待区，可满足车主车辆的售后服务需求。维修车间配备丰田整套专用检测仪器及专用工具，设有快修工位、一般维修工位、钣喷工位，设备有剪式举升机、两柱举升机、四柱举升机、四轮定位仪、冷媒机、电焊机、各类专业维修设备，智能化系统台车，维修电子看板，为车主朋友们提供专业的保障。</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 xml:space="preserve">我们注重客户体验，想客户所想，客户休息区、阅读区，儿童娱乐区、客户就餐区，来店车主在等待车辆维修保养的同时，选择阅读一本好书，浅酌一杯咖啡，品尝一碗小面。两江丰田将用心为来店车主提供一个温馨且充满生活气息的服务环境。 </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在产品方面，丰田电动化家族 EV HEV PHEV，为了践行“节能环保”理念，开发和普及HEV技术已有20余年，具备了集合混合动力HEV、插电式混合动力PHEV、纯电动EV的全方位电动化产品阵容，涵盖了从轿车到MPV，从乘用车到商用车的多款车型。HEV车辆已累计赢得了100万消费者的信赖。一汽丰田TNGA平台架构初衷是制造更好的汽车，全面提升汽车核心部件的基本性能，全系标配TOYOTA SAFETY SENSE智行安全，使整车更好看、更好开、更安全，为车内乘员提供更加周密的安全保护。</w:t>
      </w:r>
    </w:p>
    <w:p>
      <w:pPr>
        <w:spacing w:line="360" w:lineRule="auto"/>
        <w:ind w:firstLine="560" w:firstLineChars="200"/>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们秉承“专业对车，诚意待人”的服务理念，同时为车主提供“快速接待、快速保养、快速维修、快速钣喷、快速救援”的5Q服务，上门服务、24小时救援和一站式理赔服务。为更好的服务客户安享管家、特色的车主活动、爱车养护课堂、诚信服务嘉年华、车间开放日、会员俱乐部、车主自驾游等，所有车主可以全方位的通过互动的方式体验一汽丰田的售后服务。</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正确 +</w:t>
      </w:r>
      <w:r>
        <w:rPr>
          <w:rFonts w:ascii="宋体" w:hAnsi="宋体" w:eastAsia="宋体"/>
          <w:sz w:val="28"/>
          <w:szCs w:val="28"/>
        </w:rPr>
        <w:t xml:space="preserve"> </w:t>
      </w:r>
      <w:r>
        <w:rPr>
          <w:rFonts w:hint="eastAsia" w:ascii="宋体" w:hAnsi="宋体" w:eastAsia="宋体"/>
          <w:sz w:val="28"/>
          <w:szCs w:val="28"/>
        </w:rPr>
        <w:t>亲切=信赖，坚信做正确的事，做亲切的人，</w:t>
      </w:r>
      <w:r>
        <w:rPr>
          <w:rFonts w:hint="eastAsia" w:ascii="宋体" w:hAnsi="宋体" w:eastAsia="宋体"/>
          <w:color w:val="000000"/>
          <w:sz w:val="28"/>
          <w:szCs w:val="28"/>
          <w:shd w:val="clear" w:color="auto" w:fill="FFFFFF"/>
        </w:rPr>
        <w:t>始终坚持“客户第一”思维，</w:t>
      </w:r>
      <w:r>
        <w:rPr>
          <w:rFonts w:hint="eastAsia" w:ascii="宋体" w:hAnsi="宋体" w:eastAsia="宋体"/>
          <w:color w:val="000000"/>
          <w:sz w:val="28"/>
          <w:szCs w:val="28"/>
        </w:rPr>
        <w:t>持续以“量产幸福”为初心</w:t>
      </w:r>
      <w:r>
        <w:rPr>
          <w:rFonts w:hint="eastAsia" w:ascii="宋体" w:hAnsi="宋体" w:eastAsia="宋体"/>
          <w:color w:val="000000"/>
          <w:sz w:val="28"/>
          <w:szCs w:val="28"/>
          <w:shd w:val="clear" w:color="auto" w:fill="FFFFFF"/>
        </w:rPr>
        <w:t>不断加速数字化转型，链接更多粉丝和客户，在移动互联网时代，深入洞察市场变化，不断迎合新的用户需求。让更多客户亲身感受并体验丰田汽车的魅力，</w:t>
      </w:r>
      <w:r>
        <w:rPr>
          <w:rFonts w:hint="eastAsia" w:ascii="宋体" w:hAnsi="宋体" w:eastAsia="宋体"/>
          <w:color w:val="000000"/>
          <w:sz w:val="28"/>
          <w:szCs w:val="28"/>
        </w:rPr>
        <w:t>以人性化的服务，</w:t>
      </w:r>
      <w:r>
        <w:rPr>
          <w:rFonts w:hint="eastAsia" w:ascii="宋体" w:hAnsi="宋体" w:eastAsia="宋体"/>
          <w:sz w:val="28"/>
          <w:szCs w:val="28"/>
        </w:rPr>
        <w:t>为车主朋友们提供高品质的服务。</w:t>
      </w:r>
    </w:p>
    <w:p>
      <w:pPr>
        <w:spacing w:line="360" w:lineRule="auto"/>
        <w:ind w:firstLine="560" w:firstLineChars="200"/>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环境保护”“交通安全”和“人才培养”社会和企业紧密相连，团队经过一汽丰田专业培训，并取得考核认证，重庆两江丰田团队拥有丰富的汽车行业服务经验，我们将企业社会责任融入企业管理中，建立可持续发展的企业责任体系，培养具有服务精神和实践技能的人才，我们将不断改善服务，认真对待每一位客户，倾听客户心声，始终追求客户满意度第一，为建筑“美好城市和美好社会”贡献一己之力！</w:t>
      </w:r>
    </w:p>
    <w:p>
      <w:pPr>
        <w:spacing w:line="360" w:lineRule="auto"/>
        <w:ind w:firstLine="560" w:firstLineChars="200"/>
        <w:rPr>
          <w:rFonts w:ascii="宋体" w:hAnsi="宋体" w:cs="宋体"/>
          <w:kern w:val="0"/>
          <w:sz w:val="28"/>
          <w:szCs w:val="36"/>
        </w:rPr>
      </w:pPr>
      <w:r>
        <w:rPr>
          <w:rFonts w:hint="eastAsia" w:ascii="宋体" w:hAnsi="宋体" w:cs="宋体"/>
          <w:kern w:val="0"/>
          <w:sz w:val="28"/>
          <w:szCs w:val="36"/>
        </w:rPr>
        <w:t>因公司经营发展需要，特招聘以下岗位：</w:t>
      </w:r>
    </w:p>
    <w:p>
      <w:pPr>
        <w:spacing w:line="360" w:lineRule="auto"/>
        <w:rPr>
          <w:rFonts w:ascii="宋体" w:hAnsi="宋体" w:cs="宋体"/>
          <w:b/>
          <w:kern w:val="0"/>
          <w:sz w:val="28"/>
          <w:szCs w:val="36"/>
        </w:rPr>
      </w:pPr>
      <w:r>
        <w:rPr>
          <w:rFonts w:hint="eastAsia" w:ascii="宋体" w:hAnsi="宋体" w:cs="宋体"/>
          <w:b/>
          <w:kern w:val="0"/>
          <w:sz w:val="28"/>
          <w:szCs w:val="36"/>
          <w:lang w:val="en-US" w:eastAsia="zh-CN"/>
        </w:rPr>
        <w:t>一、汽车</w:t>
      </w:r>
      <w:r>
        <w:rPr>
          <w:rFonts w:hint="eastAsia" w:ascii="宋体" w:hAnsi="宋体" w:cs="宋体"/>
          <w:b/>
          <w:kern w:val="0"/>
          <w:sz w:val="28"/>
          <w:szCs w:val="36"/>
        </w:rPr>
        <w:t>销售顾问（</w:t>
      </w:r>
      <w:r>
        <w:rPr>
          <w:rFonts w:hint="eastAsia" w:ascii="宋体" w:hAnsi="宋体" w:cs="宋体"/>
          <w:b/>
          <w:kern w:val="0"/>
          <w:sz w:val="28"/>
          <w:szCs w:val="36"/>
          <w:lang w:val="en-US" w:eastAsia="zh-CN"/>
        </w:rPr>
        <w:t>6</w:t>
      </w:r>
      <w:r>
        <w:rPr>
          <w:rFonts w:hint="eastAsia" w:ascii="宋体" w:hAnsi="宋体" w:cs="宋体"/>
          <w:b/>
          <w:kern w:val="0"/>
          <w:sz w:val="28"/>
          <w:szCs w:val="36"/>
        </w:rPr>
        <w:t>名）</w:t>
      </w:r>
    </w:p>
    <w:p>
      <w:pPr>
        <w:spacing w:line="360" w:lineRule="auto"/>
        <w:rPr>
          <w:rFonts w:ascii="宋体" w:hAnsi="宋体" w:cs="宋体"/>
          <w:b/>
          <w:kern w:val="0"/>
          <w:sz w:val="28"/>
          <w:szCs w:val="36"/>
        </w:rPr>
      </w:pPr>
      <w:r>
        <w:rPr>
          <w:rFonts w:hint="eastAsia" w:ascii="宋体" w:hAnsi="宋体" w:cs="宋体"/>
          <w:b/>
          <w:kern w:val="0"/>
          <w:sz w:val="28"/>
          <w:szCs w:val="36"/>
          <w:lang w:val="en-US" w:eastAsia="zh-CN"/>
        </w:rPr>
        <w:t>1、</w:t>
      </w:r>
      <w:r>
        <w:rPr>
          <w:rFonts w:hint="eastAsia" w:ascii="宋体" w:hAnsi="宋体" w:cs="宋体"/>
          <w:b/>
          <w:kern w:val="0"/>
          <w:sz w:val="28"/>
          <w:szCs w:val="36"/>
        </w:rPr>
        <w:t>职位描述：</w:t>
      </w:r>
    </w:p>
    <w:p>
      <w:pPr>
        <w:spacing w:line="360" w:lineRule="auto"/>
        <w:rPr>
          <w:rFonts w:ascii="宋体" w:hAnsi="宋体" w:cs="宋体"/>
          <w:b/>
          <w:kern w:val="0"/>
          <w:sz w:val="28"/>
          <w:szCs w:val="36"/>
        </w:rPr>
      </w:pPr>
      <w:r>
        <w:rPr>
          <w:rFonts w:hint="eastAsia"/>
          <w:sz w:val="28"/>
          <w:szCs w:val="36"/>
        </w:rPr>
        <w:t>完成公司制定的销售目标和各项KPI目标达成；2、按照车辆标准，保持展车的清洁，以保证展车随时处于整洁状态；3、严格按销售流程接待客户，提高客户满意度；4、对潜在客户进行有效回访，持续跟进重点客户以及关怀购车客户；5、完成公司领导交办的其他工作。</w:t>
      </w:r>
    </w:p>
    <w:p>
      <w:pPr>
        <w:spacing w:line="360" w:lineRule="auto"/>
        <w:rPr>
          <w:b/>
          <w:sz w:val="28"/>
          <w:szCs w:val="36"/>
        </w:rPr>
      </w:pPr>
      <w:r>
        <w:rPr>
          <w:rFonts w:hint="eastAsia"/>
          <w:b/>
          <w:sz w:val="28"/>
          <w:szCs w:val="36"/>
          <w:lang w:val="en-US" w:eastAsia="zh-CN"/>
        </w:rPr>
        <w:t>2、</w:t>
      </w:r>
      <w:r>
        <w:rPr>
          <w:rFonts w:hint="eastAsia"/>
          <w:b/>
          <w:sz w:val="28"/>
          <w:szCs w:val="36"/>
        </w:rPr>
        <w:t>任职条件：</w:t>
      </w:r>
    </w:p>
    <w:p>
      <w:pPr>
        <w:numPr>
          <w:ilvl w:val="0"/>
          <w:numId w:val="0"/>
        </w:numPr>
        <w:spacing w:line="360" w:lineRule="auto"/>
        <w:rPr>
          <w:rFonts w:hint="eastAsia"/>
          <w:sz w:val="28"/>
          <w:szCs w:val="36"/>
        </w:rPr>
      </w:pPr>
      <w:r>
        <w:rPr>
          <w:rFonts w:hint="eastAsia"/>
          <w:sz w:val="28"/>
          <w:szCs w:val="36"/>
        </w:rPr>
        <w:t>性格开朗、具备良好的</w:t>
      </w:r>
      <w:r>
        <w:rPr>
          <w:rFonts w:hint="eastAsia"/>
          <w:sz w:val="28"/>
          <w:szCs w:val="36"/>
          <w:lang w:val="en-US" w:eastAsia="zh-CN"/>
        </w:rPr>
        <w:t>客户服务意识</w:t>
      </w:r>
      <w:r>
        <w:rPr>
          <w:rFonts w:hint="eastAsia"/>
          <w:sz w:val="28"/>
          <w:szCs w:val="36"/>
        </w:rPr>
        <w:t>及团队合作精神；2、具有较强沟通</w:t>
      </w:r>
      <w:r>
        <w:rPr>
          <w:rFonts w:hint="eastAsia"/>
          <w:sz w:val="28"/>
          <w:szCs w:val="36"/>
          <w:lang w:val="en-US" w:eastAsia="zh-CN"/>
        </w:rPr>
        <w:t>表达</w:t>
      </w:r>
      <w:r>
        <w:rPr>
          <w:rFonts w:hint="eastAsia"/>
          <w:sz w:val="28"/>
          <w:szCs w:val="36"/>
        </w:rPr>
        <w:t>能力</w:t>
      </w:r>
      <w:r>
        <w:rPr>
          <w:rFonts w:hint="eastAsia"/>
          <w:sz w:val="28"/>
          <w:szCs w:val="36"/>
          <w:lang w:val="en-US" w:eastAsia="zh-CN"/>
        </w:rPr>
        <w:t>；3、具有很强的学习能力</w:t>
      </w:r>
      <w:r>
        <w:rPr>
          <w:rFonts w:hint="eastAsia"/>
          <w:sz w:val="28"/>
          <w:szCs w:val="36"/>
        </w:rPr>
        <w:t>。</w:t>
      </w:r>
    </w:p>
    <w:p>
      <w:pPr>
        <w:spacing w:line="360" w:lineRule="auto"/>
        <w:rPr>
          <w:rFonts w:hint="eastAsia"/>
          <w:b/>
          <w:sz w:val="28"/>
          <w:szCs w:val="36"/>
          <w:lang w:val="en-US" w:eastAsia="zh-CN"/>
        </w:rPr>
      </w:pPr>
      <w:r>
        <w:rPr>
          <w:sz w:val="28"/>
          <w:szCs w:val="36"/>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7620</wp:posOffset>
                </wp:positionV>
                <wp:extent cx="6296025" cy="9525"/>
                <wp:effectExtent l="8255" t="8255" r="20320" b="10795"/>
                <wp:wrapNone/>
                <wp:docPr id="1" name="直线 2"/>
                <wp:cNvGraphicFramePr/>
                <a:graphic xmlns:a="http://schemas.openxmlformats.org/drawingml/2006/main">
                  <a:graphicData uri="http://schemas.microsoft.com/office/word/2010/wordprocessingShape">
                    <wps:wsp>
                      <wps:cNvCnPr/>
                      <wps:spPr>
                        <a:xfrm flipV="1">
                          <a:off x="0" y="0"/>
                          <a:ext cx="6296025" cy="9525"/>
                        </a:xfrm>
                        <a:prstGeom prst="line">
                          <a:avLst/>
                        </a:prstGeom>
                        <a:ln w="15875" cap="sq" cmpd="sng">
                          <a:solidFill>
                            <a:srgbClr val="739CC3"/>
                          </a:solidFill>
                          <a:prstDash val="sysDot"/>
                          <a:headEnd type="none" w="med" len="med"/>
                          <a:tailEnd type="none" w="med" len="med"/>
                        </a:ln>
                      </wps:spPr>
                      <wps:bodyPr upright="1"/>
                    </wps:wsp>
                  </a:graphicData>
                </a:graphic>
              </wp:anchor>
            </w:drawing>
          </mc:Choice>
          <mc:Fallback>
            <w:pict>
              <v:line id="直线 2" o:spid="_x0000_s1026" o:spt="20" style="position:absolute;left:0pt;flip:y;margin-left:-2.45pt;margin-top:0.6pt;height:0.75pt;width:495.75pt;z-index:251658240;mso-width-relative:page;mso-height-relative:page;" filled="f" stroked="t" coordsize="21600,21600" o:gfxdata="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C3ljTAAAABgEAAA8AAAAAAAAAAQAgAAAAIgAAAGRycy9kb3ducmV2LnhtbFBLAQIUABQA&#10;AAAIAIdO4kDGfKPZ9QEAAOgDAAAOAAAAAAAAAAEAIAAAACIBAABkcnMvZTJvRG9jLnhtbFBLBQYA&#10;AAAABgAGAFkBAACJBQAAAAA=&#10;">
                <v:fill on="f" focussize="0,0"/>
                <v:stroke weight="1.25pt" color="#739CC3" joinstyle="round" dashstyle="1 1" endcap="square"/>
                <v:imagedata o:title=""/>
                <o:lock v:ext="edit" aspectratio="f"/>
              </v:line>
            </w:pict>
          </mc:Fallback>
        </mc:AlternateContent>
      </w:r>
      <w:r>
        <w:rPr>
          <w:rFonts w:hint="eastAsia"/>
          <w:b/>
          <w:sz w:val="28"/>
          <w:szCs w:val="36"/>
          <w:lang w:val="en-US" w:eastAsia="zh-CN"/>
        </w:rPr>
        <w:t>薪酬福利：</w:t>
      </w:r>
    </w:p>
    <w:p>
      <w:pPr>
        <w:numPr>
          <w:ilvl w:val="0"/>
          <w:numId w:val="1"/>
        </w:numPr>
        <w:spacing w:line="360" w:lineRule="auto"/>
        <w:rPr>
          <w:rFonts w:hint="default"/>
          <w:b/>
          <w:sz w:val="28"/>
          <w:szCs w:val="36"/>
          <w:lang w:val="en-US" w:eastAsia="zh-CN"/>
        </w:rPr>
      </w:pPr>
      <w:r>
        <w:rPr>
          <w:sz w:val="28"/>
          <w:szCs w:val="36"/>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754380</wp:posOffset>
                </wp:positionV>
                <wp:extent cx="6296025" cy="9525"/>
                <wp:effectExtent l="8255" t="8255" r="20320" b="10795"/>
                <wp:wrapNone/>
                <wp:docPr id="2" name="直线 3"/>
                <wp:cNvGraphicFramePr/>
                <a:graphic xmlns:a="http://schemas.openxmlformats.org/drawingml/2006/main">
                  <a:graphicData uri="http://schemas.microsoft.com/office/word/2010/wordprocessingShape">
                    <wps:wsp>
                      <wps:cNvCnPr/>
                      <wps:spPr>
                        <a:xfrm flipV="1">
                          <a:off x="0" y="0"/>
                          <a:ext cx="6296025" cy="9525"/>
                        </a:xfrm>
                        <a:prstGeom prst="line">
                          <a:avLst/>
                        </a:prstGeom>
                        <a:ln w="15875" cap="sq" cmpd="sng">
                          <a:solidFill>
                            <a:srgbClr val="739CC3"/>
                          </a:solidFill>
                          <a:prstDash val="sysDot"/>
                          <a:headEnd type="none" w="med" len="med"/>
                          <a:tailEnd type="none" w="med" len="med"/>
                        </a:ln>
                      </wps:spPr>
                      <wps:bodyPr upright="1"/>
                    </wps:wsp>
                  </a:graphicData>
                </a:graphic>
              </wp:anchor>
            </w:drawing>
          </mc:Choice>
          <mc:Fallback>
            <w:pict>
              <v:line id="直线 3" o:spid="_x0000_s1026" o:spt="20" style="position:absolute;left:0pt;flip:y;margin-left:-1.95pt;margin-top:59.4pt;height:0.75pt;width:495.75pt;z-index:251659264;mso-width-relative:page;mso-height-relative:page;" filled="f" stroked="t" coordsize="21600,21600" o:gfxdata="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NLXbtYAAAAKAQAADwAAAAAAAAABACAAAAAiAAAAZHJzL2Rvd25yZXYueG1sUEsB&#10;AhQAFAAAAAgAh07iQGYSkan3AQAA6AMAAA4AAAAAAAAAAQAgAAAAJQEAAGRycy9lMm9Eb2MueG1s&#10;UEsFBgAAAAAGAAYAWQEAAI4FAAAAAA==&#10;">
                <v:fill on="f" focussize="0,0"/>
                <v:stroke weight="1.25pt" color="#739CC3" joinstyle="round" dashstyle="1 1" endcap="square"/>
                <v:imagedata o:title=""/>
                <o:lock v:ext="edit" aspectratio="f"/>
              </v:line>
            </w:pict>
          </mc:Fallback>
        </mc:AlternateContent>
      </w:r>
      <w:r>
        <w:rPr>
          <w:rFonts w:hint="eastAsia"/>
          <w:b/>
          <w:sz w:val="28"/>
          <w:szCs w:val="36"/>
          <w:lang w:val="en-US" w:eastAsia="zh-CN"/>
        </w:rPr>
        <w:t>底薪+业绩提奖；2、节日福利；3、生日礼金；4、包吃包住；5、培训及辅导</w:t>
      </w:r>
    </w:p>
    <w:p>
      <w:pPr>
        <w:spacing w:line="360" w:lineRule="auto"/>
        <w:rPr>
          <w:rFonts w:hint="eastAsia"/>
          <w:b/>
          <w:sz w:val="28"/>
          <w:szCs w:val="36"/>
        </w:rPr>
      </w:pPr>
      <w:r>
        <w:rPr>
          <w:rFonts w:hint="eastAsia"/>
          <w:b/>
          <w:sz w:val="28"/>
          <w:szCs w:val="36"/>
        </w:rPr>
        <w:t>联系人：邱女士</w:t>
      </w:r>
    </w:p>
    <w:p>
      <w:pPr>
        <w:spacing w:line="360" w:lineRule="auto"/>
        <w:rPr>
          <w:rFonts w:hint="eastAsia"/>
          <w:b/>
          <w:sz w:val="28"/>
          <w:szCs w:val="36"/>
        </w:rPr>
      </w:pPr>
      <w:r>
        <w:rPr>
          <w:rFonts w:hint="eastAsia"/>
          <w:b/>
          <w:sz w:val="28"/>
          <w:szCs w:val="36"/>
        </w:rPr>
        <w:t>联系电话：18602388517</w:t>
      </w:r>
    </w:p>
    <w:p>
      <w:pPr>
        <w:spacing w:line="360" w:lineRule="auto"/>
        <w:rPr>
          <w:rFonts w:hint="eastAsia"/>
          <w:b/>
          <w:sz w:val="28"/>
          <w:szCs w:val="36"/>
        </w:rPr>
      </w:pPr>
      <w:r>
        <w:rPr>
          <w:rFonts w:hint="eastAsia"/>
          <w:b/>
          <w:sz w:val="28"/>
          <w:szCs w:val="36"/>
        </w:rPr>
        <w:t>简历请投递：</w:t>
      </w:r>
      <w:r>
        <w:rPr>
          <w:rFonts w:hint="eastAsia"/>
          <w:b/>
          <w:sz w:val="28"/>
          <w:szCs w:val="36"/>
        </w:rPr>
        <w:fldChar w:fldCharType="begin"/>
      </w:r>
      <w:r>
        <w:rPr>
          <w:rFonts w:hint="eastAsia"/>
          <w:b/>
          <w:sz w:val="28"/>
          <w:szCs w:val="36"/>
        </w:rPr>
        <w:instrText xml:space="preserve"> HYPERLINK "mailto:cqtoyotahr@sina.com" </w:instrText>
      </w:r>
      <w:r>
        <w:rPr>
          <w:rFonts w:hint="eastAsia"/>
          <w:b/>
          <w:sz w:val="28"/>
          <w:szCs w:val="36"/>
        </w:rPr>
        <w:fldChar w:fldCharType="separate"/>
      </w:r>
      <w:r>
        <w:rPr>
          <w:rStyle w:val="7"/>
          <w:rFonts w:hint="eastAsia"/>
          <w:b/>
          <w:sz w:val="28"/>
          <w:szCs w:val="36"/>
        </w:rPr>
        <w:t>cqtoyotahr@sina.com</w:t>
      </w:r>
      <w:r>
        <w:rPr>
          <w:rFonts w:hint="eastAsia"/>
          <w:b/>
          <w:sz w:val="28"/>
          <w:szCs w:val="36"/>
        </w:rPr>
        <w:fldChar w:fldCharType="end"/>
      </w:r>
    </w:p>
    <w:p>
      <w:pPr>
        <w:spacing w:line="360" w:lineRule="auto"/>
        <w:rPr>
          <w:rFonts w:hint="eastAsia"/>
          <w:b/>
          <w:sz w:val="28"/>
          <w:szCs w:val="36"/>
        </w:rPr>
      </w:pPr>
      <w:r>
        <w:rPr>
          <w:rFonts w:hint="eastAsia"/>
          <w:b/>
          <w:sz w:val="28"/>
          <w:szCs w:val="36"/>
        </w:rPr>
        <w:t>公司地址：重庆市南岸区双龙路7号</w:t>
      </w:r>
    </w:p>
    <w:p>
      <w:pPr>
        <w:spacing w:line="360" w:lineRule="auto"/>
        <w:ind w:firstLine="562" w:firstLineChars="200"/>
        <w:rPr>
          <w:rFonts w:hint="eastAsia"/>
          <w:b/>
          <w:sz w:val="28"/>
          <w:szCs w:val="36"/>
        </w:rPr>
      </w:pPr>
    </w:p>
    <w:p>
      <w:pPr>
        <w:spacing w:line="360" w:lineRule="auto"/>
        <w:ind w:firstLine="281" w:firstLineChars="100"/>
        <w:rPr>
          <w:rFonts w:hint="default" w:eastAsia="宋体"/>
          <w:b/>
          <w:sz w:val="28"/>
          <w:szCs w:val="36"/>
          <w:lang w:val="en-US" w:eastAsia="zh-CN"/>
        </w:rPr>
      </w:pPr>
      <w:r>
        <w:rPr>
          <w:rFonts w:hint="eastAsia"/>
          <w:b/>
          <w:sz w:val="28"/>
          <w:szCs w:val="36"/>
        </w:rPr>
        <w:t>顶岗实习交流群</w:t>
      </w:r>
      <w:r>
        <w:rPr>
          <w:rFonts w:hint="eastAsia"/>
          <w:b/>
          <w:sz w:val="28"/>
          <w:szCs w:val="36"/>
          <w:lang w:val="en-US" w:eastAsia="zh-CN"/>
        </w:rPr>
        <w:t>二维码             欢迎大家关注公司抖音</w:t>
      </w:r>
    </w:p>
    <w:p>
      <w:pPr>
        <w:spacing w:line="360" w:lineRule="auto"/>
        <w:rPr>
          <w:rFonts w:hint="default"/>
          <w:b/>
          <w:sz w:val="28"/>
          <w:szCs w:val="36"/>
          <w:lang w:val="en-US" w:eastAsia="zh-CN"/>
        </w:rPr>
      </w:pPr>
      <w:r>
        <w:drawing>
          <wp:inline distT="0" distB="0" distL="114300" distR="114300">
            <wp:extent cx="2142490" cy="2066925"/>
            <wp:effectExtent l="0" t="0" r="10160" b="9525"/>
            <wp:docPr id="3" name="图片 2" descr="c066acbc0af0920b88066fcd3f433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066acbc0af0920b88066fcd3f433fc"/>
                    <pic:cNvPicPr>
                      <a:picLocks noChangeAspect="1"/>
                    </pic:cNvPicPr>
                  </pic:nvPicPr>
                  <pic:blipFill>
                    <a:blip r:embed="rId4"/>
                    <a:stretch>
                      <a:fillRect/>
                    </a:stretch>
                  </pic:blipFill>
                  <pic:spPr>
                    <a:xfrm>
                      <a:off x="0" y="0"/>
                      <a:ext cx="2142490" cy="2066925"/>
                    </a:xfrm>
                    <a:prstGeom prst="rect">
                      <a:avLst/>
                    </a:prstGeom>
                  </pic:spPr>
                </pic:pic>
              </a:graphicData>
            </a:graphic>
          </wp:inline>
        </w:drawing>
      </w:r>
      <w:r>
        <w:rPr>
          <w:rFonts w:hint="eastAsia"/>
          <w:lang w:val="en-US" w:eastAsia="zh-CN"/>
        </w:rPr>
        <w:t xml:space="preserve">               </w:t>
      </w:r>
      <w:r>
        <w:drawing>
          <wp:inline distT="0" distB="0" distL="114300" distR="114300">
            <wp:extent cx="1807845" cy="1779905"/>
            <wp:effectExtent l="0" t="0" r="1905" b="10795"/>
            <wp:docPr id="4" name="图片 4" descr="34b8fe3eba98f4a61b9337a1ae6c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b8fe3eba98f4a61b9337a1ae6c88c"/>
                    <pic:cNvPicPr>
                      <a:picLocks noChangeAspect="1"/>
                    </pic:cNvPicPr>
                  </pic:nvPicPr>
                  <pic:blipFill>
                    <a:blip r:embed="rId5"/>
                    <a:stretch>
                      <a:fillRect/>
                    </a:stretch>
                  </pic:blipFill>
                  <pic:spPr>
                    <a:xfrm>
                      <a:off x="0" y="0"/>
                      <a:ext cx="1807845" cy="1779905"/>
                    </a:xfrm>
                    <a:prstGeom prst="rect">
                      <a:avLst/>
                    </a:prstGeom>
                  </pic:spPr>
                </pic:pic>
              </a:graphicData>
            </a:graphic>
          </wp:inline>
        </w:drawing>
      </w:r>
      <w:bookmarkStart w:id="0" w:name="_GoBack"/>
      <w:bookmarkEnd w:id="0"/>
      <w:r>
        <w:rPr>
          <w:rFonts w:hint="eastAsia"/>
          <w:b/>
          <w:sz w:val="28"/>
          <w:szCs w:val="36"/>
          <w:lang w:val="en-US" w:eastAsia="zh-CN"/>
        </w:rPr>
        <w:t xml:space="preserve">            </w:t>
      </w:r>
    </w:p>
    <w:p>
      <w:pPr>
        <w:spacing w:line="360" w:lineRule="auto"/>
        <w:rPr>
          <w:rFonts w:hint="default"/>
          <w:b/>
          <w:sz w:val="28"/>
          <w:szCs w:val="36"/>
          <w:lang w:val="en-US" w:eastAsia="zh-CN"/>
        </w:rPr>
      </w:pPr>
    </w:p>
    <w:sectPr>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BA8"/>
    <w:multiLevelType w:val="singleLevel"/>
    <w:tmpl w:val="02FB7B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963"/>
    <w:rsid w:val="00093157"/>
    <w:rsid w:val="000A6616"/>
    <w:rsid w:val="000D3563"/>
    <w:rsid w:val="00123DBC"/>
    <w:rsid w:val="00172A27"/>
    <w:rsid w:val="002B4AAE"/>
    <w:rsid w:val="002E6668"/>
    <w:rsid w:val="0033760E"/>
    <w:rsid w:val="0038335F"/>
    <w:rsid w:val="004735E6"/>
    <w:rsid w:val="004C69DE"/>
    <w:rsid w:val="004E6FE7"/>
    <w:rsid w:val="006814FA"/>
    <w:rsid w:val="0070485D"/>
    <w:rsid w:val="00754C5E"/>
    <w:rsid w:val="00785A94"/>
    <w:rsid w:val="0081002C"/>
    <w:rsid w:val="00823BD2"/>
    <w:rsid w:val="0083758F"/>
    <w:rsid w:val="008A11AF"/>
    <w:rsid w:val="008E2CDF"/>
    <w:rsid w:val="009535A6"/>
    <w:rsid w:val="009B6BF5"/>
    <w:rsid w:val="009D11EF"/>
    <w:rsid w:val="00AA3F4B"/>
    <w:rsid w:val="00AE6F38"/>
    <w:rsid w:val="00B33A80"/>
    <w:rsid w:val="00B5281E"/>
    <w:rsid w:val="00C50093"/>
    <w:rsid w:val="00CE2CA9"/>
    <w:rsid w:val="00D92E6B"/>
    <w:rsid w:val="00DC4FDF"/>
    <w:rsid w:val="00DE1594"/>
    <w:rsid w:val="00DE3815"/>
    <w:rsid w:val="00E137E7"/>
    <w:rsid w:val="00E46A7B"/>
    <w:rsid w:val="00F47253"/>
    <w:rsid w:val="00FF53BA"/>
    <w:rsid w:val="01A46655"/>
    <w:rsid w:val="11AE3FC1"/>
    <w:rsid w:val="12841975"/>
    <w:rsid w:val="144012F6"/>
    <w:rsid w:val="1C375745"/>
    <w:rsid w:val="29404987"/>
    <w:rsid w:val="2ACA0094"/>
    <w:rsid w:val="305F0D61"/>
    <w:rsid w:val="326663CC"/>
    <w:rsid w:val="375E7880"/>
    <w:rsid w:val="47E027C2"/>
    <w:rsid w:val="485C5DDF"/>
    <w:rsid w:val="4B51357F"/>
    <w:rsid w:val="66F76D6F"/>
    <w:rsid w:val="6964092B"/>
    <w:rsid w:val="6A413FA0"/>
    <w:rsid w:val="6B07545D"/>
    <w:rsid w:val="735038AB"/>
    <w:rsid w:val="7C842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20"/>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页眉 Char"/>
    <w:basedOn w:val="5"/>
    <w:link w:val="3"/>
    <w:semiHidden/>
    <w:qFormat/>
    <w:uiPriority w:val="0"/>
    <w:rPr>
      <w:rFonts w:eastAsia="宋体"/>
      <w:kern w:val="2"/>
      <w:sz w:val="18"/>
      <w:lang w:val="en-US" w:eastAsia="zh-CN" w:bidi="ar-SA"/>
    </w:rPr>
  </w:style>
  <w:style w:type="character" w:customStyle="1" w:styleId="9">
    <w:name w:val="页脚 Char"/>
    <w:basedOn w:val="5"/>
    <w:link w:val="2"/>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226</Words>
  <Characters>1292</Characters>
  <Lines>10</Lines>
  <Paragraphs>3</Paragraphs>
  <TotalTime>1</TotalTime>
  <ScaleCrop>false</ScaleCrop>
  <LinksUpToDate>false</LinksUpToDate>
  <CharactersWithSpaces>1515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2014-05-15T08:16:00Z</dcterms:created>
  <dc:creator>a</dc:creator>
  <cp:lastModifiedBy>邱芸</cp:lastModifiedBy>
  <cp:lastPrinted>2021-06-29T08:14:00Z</cp:lastPrinted>
  <dcterms:modified xsi:type="dcterms:W3CDTF">2023-04-13T01:30:07Z</dcterms:modified>
  <dc:title>重庆市立信职业教育中心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